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A7" w:rsidRDefault="00FA0AAB" w:rsidP="00FA0AAB">
      <w:pPr>
        <w:pStyle w:val="NoSpacing"/>
        <w:jc w:val="center"/>
        <w:rPr>
          <w:b/>
          <w:sz w:val="28"/>
          <w:szCs w:val="28"/>
        </w:rPr>
      </w:pPr>
      <w:bookmarkStart w:id="0" w:name="_GoBack"/>
      <w:bookmarkEnd w:id="0"/>
      <w:r>
        <w:rPr>
          <w:b/>
          <w:sz w:val="28"/>
          <w:szCs w:val="28"/>
        </w:rPr>
        <w:t>DRY BEAN VARIETY TRIAL IN THE SAN LUIS VALLEY</w:t>
      </w:r>
    </w:p>
    <w:p w:rsidR="00FA0AAB" w:rsidRDefault="00FA0AAB" w:rsidP="00FA0AAB">
      <w:pPr>
        <w:pStyle w:val="NoSpacing"/>
        <w:jc w:val="center"/>
        <w:rPr>
          <w:b/>
          <w:sz w:val="28"/>
          <w:szCs w:val="28"/>
        </w:rPr>
      </w:pPr>
    </w:p>
    <w:p w:rsidR="00FA0AAB" w:rsidRDefault="00FA0AAB" w:rsidP="00FA0AAB">
      <w:pPr>
        <w:pStyle w:val="NoSpacing"/>
        <w:jc w:val="center"/>
        <w:rPr>
          <w:b/>
          <w:sz w:val="28"/>
          <w:szCs w:val="28"/>
        </w:rPr>
      </w:pPr>
      <w:r w:rsidRPr="00FA0AAB">
        <w:rPr>
          <w:b/>
          <w:sz w:val="28"/>
          <w:szCs w:val="28"/>
        </w:rPr>
        <w:t>Samuel Y.C. Essah</w:t>
      </w:r>
      <w:r w:rsidR="00385ED1" w:rsidRPr="00385ED1">
        <w:rPr>
          <w:b/>
          <w:sz w:val="28"/>
          <w:szCs w:val="28"/>
          <w:vertAlign w:val="superscript"/>
        </w:rPr>
        <w:t>1</w:t>
      </w:r>
      <w:r w:rsidRPr="00FA0AAB">
        <w:rPr>
          <w:b/>
          <w:sz w:val="28"/>
          <w:szCs w:val="28"/>
        </w:rPr>
        <w:t>, Howard Schwartz</w:t>
      </w:r>
      <w:r w:rsidR="00385ED1" w:rsidRPr="00385ED1">
        <w:rPr>
          <w:b/>
          <w:sz w:val="28"/>
          <w:szCs w:val="28"/>
          <w:vertAlign w:val="superscript"/>
        </w:rPr>
        <w:t>2</w:t>
      </w:r>
      <w:r w:rsidRPr="00FA0AAB">
        <w:rPr>
          <w:b/>
          <w:sz w:val="28"/>
          <w:szCs w:val="28"/>
        </w:rPr>
        <w:t xml:space="preserve"> and Mark Brick</w:t>
      </w:r>
      <w:r w:rsidR="00385ED1" w:rsidRPr="00385ED1">
        <w:rPr>
          <w:b/>
          <w:sz w:val="28"/>
          <w:szCs w:val="28"/>
          <w:vertAlign w:val="superscript"/>
        </w:rPr>
        <w:t>3</w:t>
      </w:r>
    </w:p>
    <w:p w:rsidR="00385ED1" w:rsidRDefault="00385ED1" w:rsidP="00385ED1">
      <w:pPr>
        <w:pStyle w:val="NoSpacing"/>
        <w:rPr>
          <w:b/>
        </w:rPr>
      </w:pPr>
    </w:p>
    <w:p w:rsidR="00E81E02" w:rsidRDefault="00385ED1" w:rsidP="00385ED1">
      <w:pPr>
        <w:pStyle w:val="NoSpacing"/>
        <w:rPr>
          <w:b/>
        </w:rPr>
      </w:pPr>
      <w:r w:rsidRPr="00385ED1">
        <w:rPr>
          <w:b/>
          <w:vertAlign w:val="superscript"/>
        </w:rPr>
        <w:t>1</w:t>
      </w:r>
      <w:r>
        <w:rPr>
          <w:b/>
        </w:rPr>
        <w:t xml:space="preserve"> Colorado State University, Department of Horticulture and Landscape Architecture, San </w:t>
      </w:r>
    </w:p>
    <w:p w:rsidR="00FA0AAB" w:rsidRDefault="00E81E02" w:rsidP="00385ED1">
      <w:pPr>
        <w:pStyle w:val="NoSpacing"/>
        <w:rPr>
          <w:b/>
        </w:rPr>
      </w:pPr>
      <w:r>
        <w:rPr>
          <w:b/>
        </w:rPr>
        <w:tab/>
      </w:r>
      <w:r w:rsidR="00385ED1">
        <w:rPr>
          <w:b/>
        </w:rPr>
        <w:t>Luis Valley Research Center, Center, Colorado.</w:t>
      </w:r>
    </w:p>
    <w:p w:rsidR="00E81E02" w:rsidRDefault="00385ED1" w:rsidP="00385ED1">
      <w:pPr>
        <w:pStyle w:val="NoSpacing"/>
        <w:rPr>
          <w:b/>
        </w:rPr>
      </w:pPr>
      <w:r w:rsidRPr="00385ED1">
        <w:rPr>
          <w:b/>
          <w:vertAlign w:val="superscript"/>
        </w:rPr>
        <w:t>2</w:t>
      </w:r>
      <w:r>
        <w:rPr>
          <w:b/>
        </w:rPr>
        <w:t xml:space="preserve"> Colorado State University, Department of Bioagricultural Sciences and Pest </w:t>
      </w:r>
    </w:p>
    <w:p w:rsidR="00385ED1" w:rsidRDefault="00E81E02" w:rsidP="00385ED1">
      <w:pPr>
        <w:pStyle w:val="NoSpacing"/>
        <w:rPr>
          <w:b/>
        </w:rPr>
      </w:pPr>
      <w:r>
        <w:rPr>
          <w:b/>
        </w:rPr>
        <w:tab/>
      </w:r>
      <w:r w:rsidR="00385ED1">
        <w:rPr>
          <w:b/>
        </w:rPr>
        <w:t>Management, Fort Collins, Colorado.</w:t>
      </w:r>
    </w:p>
    <w:p w:rsidR="00385ED1" w:rsidRPr="00FA0AAB" w:rsidRDefault="00385ED1" w:rsidP="00385ED1">
      <w:pPr>
        <w:pStyle w:val="NoSpacing"/>
        <w:rPr>
          <w:b/>
        </w:rPr>
      </w:pPr>
      <w:r w:rsidRPr="00385ED1">
        <w:rPr>
          <w:b/>
          <w:vertAlign w:val="superscript"/>
        </w:rPr>
        <w:t>3</w:t>
      </w:r>
      <w:r>
        <w:rPr>
          <w:b/>
        </w:rPr>
        <w:t xml:space="preserve"> Colorado State University, Department of Soil and Crop Sciences, Fort Collins, Colorado.</w:t>
      </w:r>
    </w:p>
    <w:p w:rsidR="001742B9" w:rsidRDefault="001742B9" w:rsidP="002D577F">
      <w:pPr>
        <w:pStyle w:val="NoSpacing"/>
        <w:rPr>
          <w:b/>
        </w:rPr>
      </w:pPr>
    </w:p>
    <w:p w:rsidR="002D577F" w:rsidRPr="00F533AC" w:rsidRDefault="00537043" w:rsidP="002D577F">
      <w:pPr>
        <w:pStyle w:val="NoSpacing"/>
        <w:rPr>
          <w:b/>
        </w:rPr>
      </w:pPr>
      <w:r>
        <w:rPr>
          <w:b/>
        </w:rPr>
        <w:t xml:space="preserve"> </w:t>
      </w:r>
      <w:r w:rsidR="00F533AC" w:rsidRPr="00F533AC">
        <w:rPr>
          <w:b/>
        </w:rPr>
        <w:t>Background Information</w:t>
      </w:r>
    </w:p>
    <w:p w:rsidR="002D577F" w:rsidRDefault="002D577F" w:rsidP="002D577F">
      <w:pPr>
        <w:pStyle w:val="NoSpacing"/>
      </w:pPr>
    </w:p>
    <w:p w:rsidR="002D577F" w:rsidRDefault="00F533AC" w:rsidP="002D577F">
      <w:pPr>
        <w:pStyle w:val="NoSpacing"/>
      </w:pPr>
      <w:r>
        <w:tab/>
        <w:t>The San Luis Valley has been known to cultivate dry beans in the past.  Varieties that were available at that time were not early maturing enough, and dry bean growers could lose a crop to early fall frost damage. In recent years, earl</w:t>
      </w:r>
      <w:r w:rsidR="00051A83">
        <w:t>ier</w:t>
      </w:r>
      <w:r>
        <w:t xml:space="preserve"> maturing dry bean varieties have been developed. </w:t>
      </w:r>
    </w:p>
    <w:p w:rsidR="00F533AC" w:rsidRDefault="00F533AC" w:rsidP="002D577F">
      <w:pPr>
        <w:pStyle w:val="NoSpacing"/>
      </w:pPr>
      <w:r>
        <w:tab/>
        <w:t>Potato growers in the San Luis Valley have expressed interest in an alternate rotation crop to barley. A study was therefore conducted at the San Luis Valley Research Center, Colorado State University</w:t>
      </w:r>
      <w:r w:rsidR="00051A83">
        <w:t xml:space="preserve">, </w:t>
      </w:r>
      <w:r>
        <w:t xml:space="preserve">to evaluate the yield and quality performance of eight dry bean varieties. This study was funded by the Colorado Potato Administrative Committee (Area II). </w:t>
      </w:r>
    </w:p>
    <w:p w:rsidR="002D577F" w:rsidRDefault="002D577F" w:rsidP="002D577F">
      <w:pPr>
        <w:pStyle w:val="NoSpacing"/>
      </w:pPr>
    </w:p>
    <w:p w:rsidR="00F533AC" w:rsidRPr="00F533AC" w:rsidRDefault="00F533AC" w:rsidP="002D577F">
      <w:pPr>
        <w:pStyle w:val="NoSpacing"/>
        <w:rPr>
          <w:b/>
        </w:rPr>
      </w:pPr>
      <w:r w:rsidRPr="00F533AC">
        <w:rPr>
          <w:b/>
        </w:rPr>
        <w:t>Experimental Procedure</w:t>
      </w:r>
    </w:p>
    <w:p w:rsidR="002D577F" w:rsidRDefault="002D577F" w:rsidP="002D577F">
      <w:pPr>
        <w:pStyle w:val="NoSpacing"/>
      </w:pPr>
    </w:p>
    <w:p w:rsidR="002D577F" w:rsidRDefault="00CF2E4C" w:rsidP="00CF2E4C">
      <w:pPr>
        <w:pStyle w:val="NoSpacing"/>
        <w:ind w:firstLine="720"/>
      </w:pPr>
      <w:r>
        <w:t xml:space="preserve">The study was laid out as a randomized complete block design, with each variety replicated four times. Each plot consisted of three beds, 34 inches center to center. Two bean rows </w:t>
      </w:r>
      <w:r w:rsidR="00051A83">
        <w:t xml:space="preserve">(8 inches apart) </w:t>
      </w:r>
      <w:r>
        <w:t>were machine planted on each bed (double or paired with row spacing of 34 inch centers). The reason for the 34 inch bed spacing was compatibility with potato row spacing.</w:t>
      </w:r>
    </w:p>
    <w:p w:rsidR="00CF2E4C" w:rsidRDefault="00CF2E4C" w:rsidP="002D577F">
      <w:pPr>
        <w:pStyle w:val="NoSpacing"/>
      </w:pPr>
      <w:r>
        <w:tab/>
        <w:t xml:space="preserve">Bean seeds were planted on June 9, and harvested on October 13, 2014. The </w:t>
      </w:r>
      <w:r w:rsidR="00051A83">
        <w:t xml:space="preserve">7 pinto and 1 light red kidney (LRK) </w:t>
      </w:r>
      <w:r>
        <w:t xml:space="preserve">varieties entered in this trial included </w:t>
      </w:r>
      <w:r>
        <w:lastRenderedPageBreak/>
        <w:t>Celrk</w:t>
      </w:r>
      <w:r w:rsidR="009F6E0B">
        <w:t xml:space="preserve"> (LRK)</w:t>
      </w:r>
      <w:r>
        <w:t>, Othello, Croissant, Long</w:t>
      </w:r>
      <w:r w:rsidR="00BB057A">
        <w:t>s</w:t>
      </w:r>
      <w:r>
        <w:t xml:space="preserve"> Peak, CO91212-4, CO90848-14, </w:t>
      </w:r>
      <w:r w:rsidR="00BA20BA">
        <w:t>Lapaz, and Stampede.</w:t>
      </w:r>
    </w:p>
    <w:p w:rsidR="00BA20BA" w:rsidRDefault="00BA20BA" w:rsidP="002D577F">
      <w:pPr>
        <w:pStyle w:val="NoSpacing"/>
      </w:pPr>
      <w:r>
        <w:tab/>
      </w:r>
      <w:r w:rsidR="00537043">
        <w:t>Field e</w:t>
      </w:r>
      <w:r>
        <w:t xml:space="preserve">merged beans were evaluated for earliness of pod maturity, plant population </w:t>
      </w:r>
      <w:r w:rsidR="00537043">
        <w:t xml:space="preserve">density </w:t>
      </w:r>
      <w:r>
        <w:t>(established plants per acre), bean yield, and seed weight (size).</w:t>
      </w:r>
    </w:p>
    <w:p w:rsidR="00456588" w:rsidRDefault="00456588" w:rsidP="002D577F">
      <w:pPr>
        <w:pStyle w:val="NoSpacing"/>
      </w:pPr>
    </w:p>
    <w:p w:rsidR="00456588" w:rsidRPr="00456588" w:rsidRDefault="00456588" w:rsidP="002D577F">
      <w:pPr>
        <w:pStyle w:val="NoSpacing"/>
        <w:rPr>
          <w:b/>
        </w:rPr>
      </w:pPr>
      <w:r w:rsidRPr="00456588">
        <w:rPr>
          <w:b/>
        </w:rPr>
        <w:t>Results and Discussion</w:t>
      </w:r>
    </w:p>
    <w:p w:rsidR="002D577F" w:rsidRDefault="002D577F" w:rsidP="002D577F">
      <w:pPr>
        <w:pStyle w:val="NoSpacing"/>
      </w:pPr>
    </w:p>
    <w:p w:rsidR="00456588" w:rsidRPr="00456588" w:rsidRDefault="00456588" w:rsidP="002D577F">
      <w:pPr>
        <w:pStyle w:val="NoSpacing"/>
        <w:rPr>
          <w:b/>
          <w:i/>
        </w:rPr>
      </w:pPr>
      <w:r w:rsidRPr="00456588">
        <w:rPr>
          <w:b/>
          <w:i/>
        </w:rPr>
        <w:t xml:space="preserve">Visual Observation of </w:t>
      </w:r>
      <w:r w:rsidR="00BB057A">
        <w:rPr>
          <w:b/>
          <w:i/>
        </w:rPr>
        <w:t>B</w:t>
      </w:r>
      <w:r w:rsidRPr="00456588">
        <w:rPr>
          <w:b/>
          <w:i/>
        </w:rPr>
        <w:t xml:space="preserve">ean </w:t>
      </w:r>
      <w:r w:rsidR="00BB057A">
        <w:rPr>
          <w:b/>
          <w:i/>
        </w:rPr>
        <w:t>M</w:t>
      </w:r>
      <w:r w:rsidRPr="00456588">
        <w:rPr>
          <w:b/>
          <w:i/>
        </w:rPr>
        <w:t>aturity</w:t>
      </w:r>
    </w:p>
    <w:p w:rsidR="002D577F" w:rsidRDefault="002D577F" w:rsidP="002D577F">
      <w:pPr>
        <w:pStyle w:val="NoSpacing"/>
      </w:pPr>
    </w:p>
    <w:p w:rsidR="00456588" w:rsidRDefault="00456588" w:rsidP="002D577F">
      <w:pPr>
        <w:pStyle w:val="NoSpacing"/>
      </w:pPr>
      <w:r>
        <w:t>Beans were rated to be mature when all the leaves and pods had turned yellow. Ranking of the varieties in terms of earliness in maturity was as follows:</w:t>
      </w:r>
    </w:p>
    <w:p w:rsidR="00456588" w:rsidRDefault="00456588" w:rsidP="00456588">
      <w:pPr>
        <w:pStyle w:val="NoSpacing"/>
        <w:numPr>
          <w:ilvl w:val="0"/>
          <w:numId w:val="1"/>
        </w:numPr>
      </w:pPr>
      <w:r>
        <w:t>Celrk, 2. Othello, 3. Croissant, 4. Long</w:t>
      </w:r>
      <w:r w:rsidR="00BB057A">
        <w:t>s</w:t>
      </w:r>
      <w:r>
        <w:t xml:space="preserve"> Peak, 5. CO91212-4, 6. CO90848-14, 7. Lapaz, and 8. Stampede</w:t>
      </w:r>
      <w:r w:rsidR="00537043">
        <w:t>, with Celrk being the earliest and Stampede the latest maturing variety</w:t>
      </w:r>
      <w:r>
        <w:t>.</w:t>
      </w:r>
    </w:p>
    <w:p w:rsidR="00456588" w:rsidRDefault="00456588" w:rsidP="00456588">
      <w:pPr>
        <w:pStyle w:val="NoSpacing"/>
        <w:ind w:firstLine="360"/>
      </w:pPr>
      <w:r>
        <w:t xml:space="preserve">Celrk </w:t>
      </w:r>
      <w:r w:rsidR="00BB057A">
        <w:t>w</w:t>
      </w:r>
      <w:r>
        <w:t>as harvest</w:t>
      </w:r>
      <w:r w:rsidR="00537043">
        <w:t>ed</w:t>
      </w:r>
      <w:r>
        <w:t xml:space="preserve"> as soon as the pods mature</w:t>
      </w:r>
      <w:r w:rsidR="00BB057A">
        <w:t xml:space="preserve">d; due to its tendency to shatter after pod drying. </w:t>
      </w:r>
      <w:r>
        <w:t xml:space="preserve"> </w:t>
      </w:r>
      <w:r w:rsidR="00B056B5">
        <w:t xml:space="preserve">The varieties Stampede, Lapaz, and CO90848-14 </w:t>
      </w:r>
      <w:r w:rsidR="00BB057A">
        <w:t xml:space="preserve">still </w:t>
      </w:r>
      <w:r w:rsidR="00B056B5">
        <w:t>ha</w:t>
      </w:r>
      <w:r w:rsidR="00537043">
        <w:t>d</w:t>
      </w:r>
      <w:r w:rsidR="00B056B5">
        <w:t xml:space="preserve"> some green leaves and pods </w:t>
      </w:r>
      <w:r w:rsidR="00BB057A">
        <w:t>on</w:t>
      </w:r>
      <w:r w:rsidR="00B056B5">
        <w:t xml:space="preserve"> October 10, 2014. Some pods of Lapaz were not mature at harvest</w:t>
      </w:r>
      <w:r w:rsidR="00BB057A">
        <w:t>; and t</w:t>
      </w:r>
      <w:r w:rsidR="00B056B5">
        <w:t xml:space="preserve">herefore, </w:t>
      </w:r>
      <w:r w:rsidR="00BB057A">
        <w:t xml:space="preserve">exhibited some </w:t>
      </w:r>
      <w:r w:rsidR="00B056B5">
        <w:t>mouldy seeds during threshing and cleaning.</w:t>
      </w:r>
    </w:p>
    <w:p w:rsidR="000D2F02" w:rsidRDefault="000D2F02" w:rsidP="000D2F02">
      <w:pPr>
        <w:pStyle w:val="NoSpacing"/>
      </w:pPr>
    </w:p>
    <w:p w:rsidR="000D2F02" w:rsidRPr="000D2F02" w:rsidRDefault="000D2F02" w:rsidP="000D2F02">
      <w:pPr>
        <w:pStyle w:val="NoSpacing"/>
        <w:rPr>
          <w:b/>
          <w:i/>
        </w:rPr>
      </w:pPr>
      <w:r w:rsidRPr="000D2F02">
        <w:rPr>
          <w:b/>
          <w:i/>
        </w:rPr>
        <w:t>Plant Population</w:t>
      </w:r>
    </w:p>
    <w:p w:rsidR="002D577F" w:rsidRDefault="002D577F" w:rsidP="002D577F">
      <w:pPr>
        <w:pStyle w:val="NoSpacing"/>
      </w:pPr>
    </w:p>
    <w:p w:rsidR="002D577F" w:rsidRDefault="000D2F02" w:rsidP="002D577F">
      <w:pPr>
        <w:pStyle w:val="NoSpacing"/>
      </w:pPr>
      <w:r>
        <w:t>Plants in a ten f</w:t>
      </w:r>
      <w:r w:rsidR="007B6D52">
        <w:t>oo</w:t>
      </w:r>
      <w:r>
        <w:t>t section of one of the paired row beds were counted to estimate established plants per acre (plant population). In this study, Croissant, Othello, Long</w:t>
      </w:r>
      <w:r w:rsidR="007B6D52">
        <w:t>s</w:t>
      </w:r>
      <w:r>
        <w:t xml:space="preserve"> Peak, and Lapaz had the highest plant population per acre (94935, 90322, 88401, and 83020, respectively) – Figure 1. Celrk showed the lowest plant population per acre (42663).</w:t>
      </w:r>
    </w:p>
    <w:p w:rsidR="002D577F" w:rsidRDefault="002D577F" w:rsidP="002D577F">
      <w:pPr>
        <w:pStyle w:val="NoSpacing"/>
      </w:pPr>
    </w:p>
    <w:p w:rsidR="002D577F" w:rsidRDefault="002D577F" w:rsidP="002D577F">
      <w:pPr>
        <w:pStyle w:val="NoSpacing"/>
      </w:pPr>
    </w:p>
    <w:p w:rsidR="002D577F" w:rsidRDefault="002D577F" w:rsidP="002D577F">
      <w:pPr>
        <w:pStyle w:val="NoSpacing"/>
      </w:pPr>
    </w:p>
    <w:p w:rsidR="002D577F" w:rsidRDefault="002D577F" w:rsidP="002D577F">
      <w:pPr>
        <w:pStyle w:val="NoSpacing"/>
      </w:pPr>
      <w:r>
        <w:rPr>
          <w:noProof/>
        </w:rPr>
        <w:lastRenderedPageBreak/>
        <w:drawing>
          <wp:anchor distT="0" distB="0" distL="114300" distR="114300" simplePos="0" relativeHeight="251658240" behindDoc="0" locked="0" layoutInCell="1" allowOverlap="1" wp14:anchorId="54213717" wp14:editId="194B5582">
            <wp:simplePos x="0" y="0"/>
            <wp:positionH relativeFrom="column">
              <wp:posOffset>-61595</wp:posOffset>
            </wp:positionH>
            <wp:positionV relativeFrom="paragraph">
              <wp:posOffset>177165</wp:posOffset>
            </wp:positionV>
            <wp:extent cx="5547360" cy="3978275"/>
            <wp:effectExtent l="0" t="0" r="15240" b="222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D577F" w:rsidRDefault="002D577F" w:rsidP="002D577F">
      <w:pPr>
        <w:pStyle w:val="NoSpacing"/>
      </w:pPr>
    </w:p>
    <w:p w:rsidR="00F363D6" w:rsidRDefault="006E28B0" w:rsidP="002D577F">
      <w:pPr>
        <w:pStyle w:val="NoSpacing"/>
      </w:pPr>
      <w:r>
        <w:rPr>
          <w:noProof/>
        </w:rPr>
        <mc:AlternateContent>
          <mc:Choice Requires="wps">
            <w:drawing>
              <wp:anchor distT="0" distB="0" distL="114300" distR="114300" simplePos="0" relativeHeight="251661312" behindDoc="0" locked="0" layoutInCell="1" allowOverlap="1" wp14:anchorId="0B1CF91C" wp14:editId="718D6150">
                <wp:simplePos x="0" y="0"/>
                <wp:positionH relativeFrom="column">
                  <wp:posOffset>-2195451</wp:posOffset>
                </wp:positionH>
                <wp:positionV relativeFrom="paragraph">
                  <wp:posOffset>28575</wp:posOffset>
                </wp:positionV>
                <wp:extent cx="2026692"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2" cy="1403985"/>
                        </a:xfrm>
                        <a:prstGeom prst="rect">
                          <a:avLst/>
                        </a:prstGeom>
                        <a:solidFill>
                          <a:srgbClr val="FFFFFF"/>
                        </a:solidFill>
                        <a:ln w="9525">
                          <a:noFill/>
                          <a:miter lim="800000"/>
                          <a:headEnd/>
                          <a:tailEnd/>
                        </a:ln>
                      </wps:spPr>
                      <wps:txbx>
                        <w:txbxContent>
                          <w:p w:rsidR="006E28B0" w:rsidRPr="00A21021" w:rsidRDefault="006E28B0">
                            <w:pPr>
                              <w:rPr>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CF91C" id="_x0000_t202" coordsize="21600,21600" o:spt="202" path="m,l,21600r21600,l21600,xe">
                <v:stroke joinstyle="miter"/>
                <v:path gradientshapeok="t" o:connecttype="rect"/>
              </v:shapetype>
              <v:shape id="Text Box 2" o:spid="_x0000_s1026" type="#_x0000_t202" style="position:absolute;margin-left:-172.85pt;margin-top:2.25pt;width:15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d4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" stroked="f">
                <v:textbox style="mso-fit-shape-to-text:t">
                  <w:txbxContent>
                    <w:p w:rsidR="006E28B0" w:rsidRPr="00A21021" w:rsidRDefault="006E28B0">
                      <w:pPr>
                        <w:rPr>
                          <w:b/>
                          <w:sz w:val="20"/>
                          <w:szCs w:val="20"/>
                        </w:rPr>
                      </w:pPr>
                    </w:p>
                  </w:txbxContent>
                </v:textbox>
              </v:shape>
            </w:pict>
          </mc:Fallback>
        </mc:AlternateContent>
      </w: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F363D6" w:rsidP="002D577F">
      <w:pPr>
        <w:pStyle w:val="NoSpacing"/>
      </w:pPr>
    </w:p>
    <w:p w:rsidR="00F363D6" w:rsidRDefault="001C6A7B" w:rsidP="002D577F">
      <w:pPr>
        <w:pStyle w:val="NoSpacing"/>
      </w:pPr>
      <w:r w:rsidRPr="007B6D52">
        <w:rPr>
          <w:b/>
        </w:rPr>
        <w:t>Figure 1</w:t>
      </w:r>
      <w:r w:rsidR="007B6D52">
        <w:t>.</w:t>
      </w:r>
      <w:r w:rsidR="00FD0045">
        <w:t xml:space="preserve"> Plant population density of eight dry bean varieties planted in the San Luis Valley of Colorado</w:t>
      </w:r>
      <w:r w:rsidR="007B6D52">
        <w:t xml:space="preserve"> in 2014; LSD (0.05) = 14902; CV = 13.2%.</w:t>
      </w:r>
    </w:p>
    <w:p w:rsidR="00F363D6" w:rsidRDefault="00F363D6" w:rsidP="002D577F">
      <w:pPr>
        <w:pStyle w:val="NoSpacing"/>
      </w:pPr>
    </w:p>
    <w:p w:rsidR="0011274B" w:rsidRDefault="0011274B" w:rsidP="002D577F">
      <w:pPr>
        <w:pStyle w:val="NoSpacing"/>
        <w:rPr>
          <w:b/>
          <w:i/>
        </w:rPr>
      </w:pPr>
    </w:p>
    <w:p w:rsidR="0011274B" w:rsidRDefault="0011274B" w:rsidP="002D577F">
      <w:pPr>
        <w:pStyle w:val="NoSpacing"/>
        <w:rPr>
          <w:b/>
          <w:i/>
        </w:rPr>
      </w:pPr>
    </w:p>
    <w:p w:rsidR="00F363D6" w:rsidRPr="00702EB5" w:rsidRDefault="00702EB5" w:rsidP="002D577F">
      <w:pPr>
        <w:pStyle w:val="NoSpacing"/>
        <w:rPr>
          <w:b/>
          <w:i/>
        </w:rPr>
      </w:pPr>
      <w:r w:rsidRPr="00702EB5">
        <w:rPr>
          <w:b/>
          <w:i/>
        </w:rPr>
        <w:t>Dry Bean Yield</w:t>
      </w:r>
    </w:p>
    <w:p w:rsidR="00F363D6" w:rsidRDefault="00F363D6" w:rsidP="002D577F">
      <w:pPr>
        <w:pStyle w:val="NoSpacing"/>
      </w:pPr>
    </w:p>
    <w:p w:rsidR="00F363D6" w:rsidRDefault="00702EB5" w:rsidP="002D577F">
      <w:pPr>
        <w:pStyle w:val="NoSpacing"/>
      </w:pPr>
      <w:r>
        <w:tab/>
        <w:t>Plants in a fifteen f</w:t>
      </w:r>
      <w:r w:rsidR="00B359ED">
        <w:t>oo</w:t>
      </w:r>
      <w:r>
        <w:t xml:space="preserve">t section of the middle paired row bed were pulled by hand. </w:t>
      </w:r>
      <w:r w:rsidR="00B359ED">
        <w:t>After air drying for 3 weeks, t</w:t>
      </w:r>
      <w:r>
        <w:t xml:space="preserve">he harvested plants were fed into a </w:t>
      </w:r>
      <w:r w:rsidR="00B359ED">
        <w:t xml:space="preserve">stationary </w:t>
      </w:r>
      <w:r>
        <w:t xml:space="preserve">bean combine for threshing. Threshed beans were cleaned of all trash and </w:t>
      </w:r>
      <w:r>
        <w:lastRenderedPageBreak/>
        <w:t>weighed for yield. Othello, Croissant, CO91212-4, and Long</w:t>
      </w:r>
      <w:r w:rsidR="00B359ED">
        <w:t>s</w:t>
      </w:r>
      <w:r>
        <w:t xml:space="preserve"> Peak had the highest yields per acre (33, 32, 27, and 27 cwt/acre, respectively) – Fig 2. Lapaz produced the lowest seed yield (17 cwt/acre).</w:t>
      </w:r>
    </w:p>
    <w:p w:rsidR="00076ADC" w:rsidRDefault="00076ADC" w:rsidP="002D577F">
      <w:pPr>
        <w:pStyle w:val="NoSpacing"/>
      </w:pPr>
      <w:r>
        <w:tab/>
        <w:t xml:space="preserve">It is interesting to note that three of the varieties with high plant population per acre were among the high yielding varieties. However, variety </w:t>
      </w:r>
      <w:r w:rsidR="00CE1253">
        <w:t xml:space="preserve">CO91212-4 which did not have relatively high plant population density (60343 plants/acre) was </w:t>
      </w:r>
      <w:r w:rsidR="00865ED5">
        <w:t xml:space="preserve">also </w:t>
      </w:r>
      <w:r w:rsidR="00CE1253">
        <w:t>among the high yielding varieties in this study (</w:t>
      </w:r>
      <w:r w:rsidR="00562C10">
        <w:t>F</w:t>
      </w:r>
      <w:r w:rsidR="00CE1253">
        <w:t>ig</w:t>
      </w:r>
      <w:r w:rsidR="00562C10">
        <w:t xml:space="preserve">. </w:t>
      </w:r>
      <w:r w:rsidR="00CE1253">
        <w:t>2).</w:t>
      </w:r>
    </w:p>
    <w:p w:rsidR="00F363D6" w:rsidRDefault="00F363D6" w:rsidP="002D577F">
      <w:pPr>
        <w:pStyle w:val="NoSpacing"/>
      </w:pPr>
    </w:p>
    <w:p w:rsidR="00F363D6" w:rsidRDefault="00631E11" w:rsidP="002D577F">
      <w:pPr>
        <w:pStyle w:val="NoSpacing"/>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2697480</wp:posOffset>
                </wp:positionH>
                <wp:positionV relativeFrom="paragraph">
                  <wp:posOffset>386099</wp:posOffset>
                </wp:positionV>
                <wp:extent cx="2374265" cy="1403985"/>
                <wp:effectExtent l="0" t="0" r="381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1E11" w:rsidRPr="00A21021" w:rsidRDefault="00631E11">
                            <w:pPr>
                              <w:rPr>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12.4pt;margin-top:3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" stroked="f">
                <v:textbox style="mso-fit-shape-to-text:t">
                  <w:txbxContent>
                    <w:p w:rsidR="00631E11" w:rsidRPr="00A21021" w:rsidRDefault="00631E11">
                      <w:pPr>
                        <w:rPr>
                          <w:b/>
                          <w:sz w:val="20"/>
                          <w:szCs w:val="20"/>
                        </w:rPr>
                      </w:pPr>
                    </w:p>
                  </w:txbxContent>
                </v:textbox>
              </v:shape>
            </w:pict>
          </mc:Fallback>
        </mc:AlternateContent>
      </w:r>
      <w:r w:rsidR="00F363D6">
        <w:rPr>
          <w:noProof/>
        </w:rPr>
        <w:drawing>
          <wp:inline distT="0" distB="0" distL="0" distR="0">
            <wp:extent cx="5520519" cy="4210334"/>
            <wp:effectExtent l="0" t="0" r="2349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55C0" w:rsidRDefault="00A555C0" w:rsidP="002D577F">
      <w:pPr>
        <w:pStyle w:val="NoSpacing"/>
      </w:pPr>
    </w:p>
    <w:p w:rsidR="00A555C0" w:rsidRDefault="0011274B" w:rsidP="002D577F">
      <w:pPr>
        <w:pStyle w:val="NoSpacing"/>
      </w:pPr>
      <w:r w:rsidRPr="00A25E8D">
        <w:rPr>
          <w:b/>
        </w:rPr>
        <w:t>Figure 2</w:t>
      </w:r>
      <w:r w:rsidR="00A25E8D">
        <w:rPr>
          <w:b/>
        </w:rPr>
        <w:t>.</w:t>
      </w:r>
      <w:r>
        <w:t xml:space="preserve"> Yield of eight dry bean varieties grown in the San Luis Valley of Colorado</w:t>
      </w:r>
      <w:r w:rsidR="00A25E8D">
        <w:t xml:space="preserve"> in 2014; LSD (0.05) = 6.4; CV = 17.5%.</w:t>
      </w:r>
    </w:p>
    <w:p w:rsidR="0011274B" w:rsidRDefault="0011274B" w:rsidP="002D577F">
      <w:pPr>
        <w:pStyle w:val="NoSpacing"/>
      </w:pPr>
    </w:p>
    <w:p w:rsidR="0011274B" w:rsidRDefault="0011274B" w:rsidP="002D577F">
      <w:pPr>
        <w:pStyle w:val="NoSpacing"/>
      </w:pPr>
    </w:p>
    <w:p w:rsidR="0011274B" w:rsidRDefault="0011274B" w:rsidP="002D577F">
      <w:pPr>
        <w:pStyle w:val="NoSpacing"/>
      </w:pPr>
    </w:p>
    <w:p w:rsidR="0011274B" w:rsidRDefault="0011274B" w:rsidP="002D577F">
      <w:pPr>
        <w:pStyle w:val="NoSpacing"/>
      </w:pPr>
    </w:p>
    <w:p w:rsidR="0011274B" w:rsidRPr="0011274B" w:rsidRDefault="0011274B" w:rsidP="002D577F">
      <w:pPr>
        <w:pStyle w:val="NoSpacing"/>
        <w:rPr>
          <w:b/>
          <w:i/>
        </w:rPr>
      </w:pPr>
      <w:r w:rsidRPr="0011274B">
        <w:rPr>
          <w:b/>
          <w:i/>
        </w:rPr>
        <w:t>200-Seed Weight</w:t>
      </w:r>
    </w:p>
    <w:p w:rsidR="00A555C0" w:rsidRDefault="00A555C0" w:rsidP="002D577F">
      <w:pPr>
        <w:pStyle w:val="NoSpacing"/>
      </w:pPr>
    </w:p>
    <w:p w:rsidR="00A555C0" w:rsidRDefault="0011274B" w:rsidP="002D577F">
      <w:pPr>
        <w:pStyle w:val="NoSpacing"/>
      </w:pPr>
      <w:r>
        <w:lastRenderedPageBreak/>
        <w:tab/>
        <w:t>Seed weight, which is a measure of seed size and/or quality was evaluated. Two hundred seeds were randomly selected from each harvest</w:t>
      </w:r>
      <w:r w:rsidR="000466B6">
        <w:t>ed</w:t>
      </w:r>
      <w:r>
        <w:t xml:space="preserve"> plot and weighed to evaluate 200-seed weight. Celrk which had the lowest plant population density and was among the low yielding varieties, had the highest seed weight (4 oz.) – Fig</w:t>
      </w:r>
      <w:r w:rsidR="00404078">
        <w:t>.</w:t>
      </w:r>
      <w:r>
        <w:t xml:space="preserve"> 3. This observation was due to the large seed size of Celrk</w:t>
      </w:r>
      <w:r w:rsidR="00404078">
        <w:t>; which is typical of a light red kidney bean class.</w:t>
      </w:r>
      <w:r>
        <w:t xml:space="preserve"> Lapaz had the l</w:t>
      </w:r>
      <w:r w:rsidR="00404078">
        <w:t>owest</w:t>
      </w:r>
      <w:r>
        <w:t xml:space="preserve"> seed weight (2 oz.) and yield (17 cwt/acre), even though it had a relatively high </w:t>
      </w:r>
      <w:r w:rsidR="005F3233">
        <w:t xml:space="preserve">plant population density per acre (83020). This was because some Lapaz pods </w:t>
      </w:r>
      <w:r w:rsidR="00404078">
        <w:t xml:space="preserve">and seeds </w:t>
      </w:r>
      <w:r w:rsidR="005F3233">
        <w:t xml:space="preserve">were not mature at </w:t>
      </w:r>
      <w:r w:rsidR="00404078">
        <w:t xml:space="preserve">the </w:t>
      </w:r>
      <w:r w:rsidR="005F3233">
        <w:t>time of harvest.</w:t>
      </w:r>
    </w:p>
    <w:p w:rsidR="005F3233" w:rsidRDefault="00A21021" w:rsidP="002D577F">
      <w:pPr>
        <w:pStyle w:val="NoSpacing"/>
      </w:pPr>
      <w:r>
        <w:rPr>
          <w:noProof/>
        </w:rPr>
        <mc:AlternateContent>
          <mc:Choice Requires="wps">
            <w:drawing>
              <wp:anchor distT="91440" distB="91440" distL="114300" distR="114300" simplePos="0" relativeHeight="251665408" behindDoc="0" locked="0" layoutInCell="0" allowOverlap="1" wp14:anchorId="09DF04E6" wp14:editId="4BCBAED7">
                <wp:simplePos x="0" y="0"/>
                <wp:positionH relativeFrom="margin">
                  <wp:posOffset>3023870</wp:posOffset>
                </wp:positionH>
                <wp:positionV relativeFrom="margin">
                  <wp:posOffset>1313815</wp:posOffset>
                </wp:positionV>
                <wp:extent cx="2239010" cy="21209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A21021" w:rsidRPr="00A21021" w:rsidRDefault="00A21021">
                            <w:pPr>
                              <w:rPr>
                                <w:b/>
                                <w:sz w:val="20"/>
                                <w:szCs w:val="20"/>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09DF04E6" id="Rectangle 396" o:spid="_x0000_s1028" style="position:absolute;margin-left:238.1pt;margin-top:103.45pt;width:176.3pt;height:167pt;flip:x;z-index:25166540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" o:allowincell="f" filled="f" stroked="f" strokeweight="1.5pt">
                <v:shadow on="t" type="perspective" color="black" opacity="26214f" origin="-.5,-.5" offset=".74836mm,.74836mm" matrix="65864f,,,65864f"/>
                <v:textbox style="mso-fit-shape-to-text:t" inset="21.6pt,21.6pt,21.6pt,21.6pt">
                  <w:txbxContent>
                    <w:p w:rsidR="00A21021" w:rsidRPr="00A21021" w:rsidRDefault="00A21021">
                      <w:pPr>
                        <w:rPr>
                          <w:b/>
                          <w:sz w:val="20"/>
                          <w:szCs w:val="20"/>
                        </w:rPr>
                      </w:pPr>
                    </w:p>
                  </w:txbxContent>
                </v:textbox>
                <w10:wrap type="square" anchorx="margin" anchory="margin"/>
              </v:rect>
            </w:pict>
          </mc:Fallback>
        </mc:AlternateContent>
      </w:r>
      <w:r w:rsidR="005F3233">
        <w:rPr>
          <w:noProof/>
        </w:rPr>
        <w:drawing>
          <wp:anchor distT="0" distB="0" distL="114300" distR="114300" simplePos="0" relativeHeight="251659264" behindDoc="0" locked="0" layoutInCell="1" allowOverlap="1" wp14:anchorId="1999FDAD" wp14:editId="43A58F9E">
            <wp:simplePos x="0" y="0"/>
            <wp:positionH relativeFrom="column">
              <wp:posOffset>-75565</wp:posOffset>
            </wp:positionH>
            <wp:positionV relativeFrom="paragraph">
              <wp:posOffset>124460</wp:posOffset>
            </wp:positionV>
            <wp:extent cx="5486400" cy="4100830"/>
            <wp:effectExtent l="0" t="0" r="19050" b="1397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F3233" w:rsidRDefault="005F3233" w:rsidP="002D577F">
      <w:pPr>
        <w:pStyle w:val="NoSpacing"/>
      </w:pPr>
    </w:p>
    <w:p w:rsidR="005F3233" w:rsidRDefault="005F3233" w:rsidP="002D577F">
      <w:pPr>
        <w:pStyle w:val="NoSpacing"/>
      </w:pPr>
    </w:p>
    <w:p w:rsidR="00A555C0" w:rsidRDefault="00A555C0"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r w:rsidRPr="00E931BB">
        <w:rPr>
          <w:b/>
        </w:rPr>
        <w:t>Figure 3</w:t>
      </w:r>
      <w:r w:rsidR="00E931BB">
        <w:t>.</w:t>
      </w:r>
      <w:r>
        <w:t xml:space="preserve"> Seed weight of eight dry bean varieties grown in the San Luis Valley of Colorado</w:t>
      </w:r>
      <w:r w:rsidR="00E931BB">
        <w:t xml:space="preserve"> in 2014; LSD (0.05) = 0.15; CV = 3.9%.</w:t>
      </w: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pPr>
    </w:p>
    <w:p w:rsidR="005F3233" w:rsidRDefault="005F3233" w:rsidP="002D577F">
      <w:pPr>
        <w:pStyle w:val="NoSpacing"/>
        <w:rPr>
          <w:b/>
        </w:rPr>
      </w:pPr>
      <w:r w:rsidRPr="005F3233">
        <w:rPr>
          <w:b/>
        </w:rPr>
        <w:t>SUMMARY</w:t>
      </w:r>
    </w:p>
    <w:p w:rsidR="005F3233" w:rsidRDefault="005F3233" w:rsidP="002D577F">
      <w:pPr>
        <w:pStyle w:val="NoSpacing"/>
        <w:rPr>
          <w:b/>
        </w:rPr>
      </w:pPr>
    </w:p>
    <w:p w:rsidR="005F3233" w:rsidRDefault="005F3233" w:rsidP="0061350D">
      <w:pPr>
        <w:pStyle w:val="NoSpacing"/>
        <w:ind w:firstLine="720"/>
      </w:pPr>
      <w:r>
        <w:t xml:space="preserve">Results from this study indicate that dry beans can be </w:t>
      </w:r>
      <w:r w:rsidR="00E931BB">
        <w:t xml:space="preserve">successfully </w:t>
      </w:r>
      <w:r>
        <w:t>grown</w:t>
      </w:r>
      <w:r w:rsidR="00E931BB">
        <w:t xml:space="preserve"> within 120 days </w:t>
      </w:r>
      <w:r>
        <w:t xml:space="preserve"> in the San Luis Valley with acceptable yields. Varieties that can be successfully planted with acceptable yield include Othello, Croissant, Long</w:t>
      </w:r>
      <w:r w:rsidR="00E931BB">
        <w:t>s</w:t>
      </w:r>
      <w:r>
        <w:t xml:space="preserve"> Peak, and CO91212-4.</w:t>
      </w:r>
    </w:p>
    <w:p w:rsidR="0061350D" w:rsidRPr="005F3233" w:rsidRDefault="0061350D" w:rsidP="0061350D">
      <w:pPr>
        <w:pStyle w:val="NoSpacing"/>
        <w:ind w:firstLine="720"/>
      </w:pPr>
      <w:r>
        <w:t xml:space="preserve">Dry beans can be planted before June if soil temperatures are 60 </w:t>
      </w:r>
      <w:r w:rsidRPr="0061350D">
        <w:rPr>
          <w:vertAlign w:val="superscript"/>
        </w:rPr>
        <w:t>o</w:t>
      </w:r>
      <w:r>
        <w:t xml:space="preserve">F and above to prolong the growing season in the field. In that case, the variety CO90848-14 </w:t>
      </w:r>
      <w:r w:rsidR="006A3C2F">
        <w:t>c</w:t>
      </w:r>
      <w:r w:rsidR="006010F9">
        <w:t>ould</w:t>
      </w:r>
      <w:r w:rsidR="006A3C2F">
        <w:t xml:space="preserve"> have higher yields with dry pods at harvest. The yield of Celrk which matures very early, with high seed weight, can be improved by increasing the plant population density at plant</w:t>
      </w:r>
      <w:r w:rsidR="000466B6">
        <w:t>ing</w:t>
      </w:r>
      <w:r w:rsidR="006A3C2F">
        <w:t>. Celrk showed the lowest plant population density in this study.</w:t>
      </w:r>
      <w:r w:rsidR="006010F9">
        <w:t xml:space="preserve"> Additional testing of these top varieties and other candidates is warranted in the San Luis valley in 2015.</w:t>
      </w:r>
    </w:p>
    <w:sectPr w:rsidR="0061350D" w:rsidRPr="005F32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7A" w:rsidRDefault="00C1717A" w:rsidP="001742B9">
      <w:pPr>
        <w:spacing w:after="0" w:line="240" w:lineRule="auto"/>
      </w:pPr>
      <w:r>
        <w:separator/>
      </w:r>
    </w:p>
  </w:endnote>
  <w:endnote w:type="continuationSeparator" w:id="0">
    <w:p w:rsidR="00C1717A" w:rsidRDefault="00C1717A" w:rsidP="0017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980378"/>
      <w:docPartObj>
        <w:docPartGallery w:val="Page Numbers (Bottom of Page)"/>
        <w:docPartUnique/>
      </w:docPartObj>
    </w:sdtPr>
    <w:sdtEndPr>
      <w:rPr>
        <w:noProof/>
      </w:rPr>
    </w:sdtEndPr>
    <w:sdtContent>
      <w:p w:rsidR="001742B9" w:rsidRDefault="001742B9">
        <w:pPr>
          <w:pStyle w:val="Footer"/>
          <w:jc w:val="center"/>
        </w:pPr>
        <w:r>
          <w:fldChar w:fldCharType="begin"/>
        </w:r>
        <w:r>
          <w:instrText xml:space="preserve"> PAGE   \* MERGEFORMAT </w:instrText>
        </w:r>
        <w:r>
          <w:fldChar w:fldCharType="separate"/>
        </w:r>
        <w:r w:rsidR="0012261F">
          <w:rPr>
            <w:noProof/>
          </w:rPr>
          <w:t>1</w:t>
        </w:r>
        <w:r>
          <w:rPr>
            <w:noProof/>
          </w:rPr>
          <w:fldChar w:fldCharType="end"/>
        </w:r>
      </w:p>
    </w:sdtContent>
  </w:sdt>
  <w:p w:rsidR="001742B9" w:rsidRDefault="0017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7A" w:rsidRDefault="00C1717A" w:rsidP="001742B9">
      <w:pPr>
        <w:spacing w:after="0" w:line="240" w:lineRule="auto"/>
      </w:pPr>
      <w:r>
        <w:separator/>
      </w:r>
    </w:p>
  </w:footnote>
  <w:footnote w:type="continuationSeparator" w:id="0">
    <w:p w:rsidR="00C1717A" w:rsidRDefault="00C1717A" w:rsidP="00174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3FF5"/>
    <w:multiLevelType w:val="hybridMultilevel"/>
    <w:tmpl w:val="2940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DB"/>
    <w:rsid w:val="000466B6"/>
    <w:rsid w:val="00051A83"/>
    <w:rsid w:val="000755BE"/>
    <w:rsid w:val="00076ADC"/>
    <w:rsid w:val="000D2F02"/>
    <w:rsid w:val="0011274B"/>
    <w:rsid w:val="0012261F"/>
    <w:rsid w:val="001452C1"/>
    <w:rsid w:val="001742B9"/>
    <w:rsid w:val="001C6A7B"/>
    <w:rsid w:val="002D577F"/>
    <w:rsid w:val="002F7E7C"/>
    <w:rsid w:val="00381CD2"/>
    <w:rsid w:val="00385ED1"/>
    <w:rsid w:val="00386B92"/>
    <w:rsid w:val="00404078"/>
    <w:rsid w:val="0040641F"/>
    <w:rsid w:val="00430743"/>
    <w:rsid w:val="00432891"/>
    <w:rsid w:val="00456588"/>
    <w:rsid w:val="00537043"/>
    <w:rsid w:val="00544D2A"/>
    <w:rsid w:val="00562C10"/>
    <w:rsid w:val="0058154A"/>
    <w:rsid w:val="005E1074"/>
    <w:rsid w:val="005F3233"/>
    <w:rsid w:val="006010F9"/>
    <w:rsid w:val="0061350D"/>
    <w:rsid w:val="00631E11"/>
    <w:rsid w:val="00644534"/>
    <w:rsid w:val="00694455"/>
    <w:rsid w:val="006A3C2F"/>
    <w:rsid w:val="006E28B0"/>
    <w:rsid w:val="006E5375"/>
    <w:rsid w:val="006E6DDD"/>
    <w:rsid w:val="00702EB5"/>
    <w:rsid w:val="00766C7F"/>
    <w:rsid w:val="00793C17"/>
    <w:rsid w:val="007B6D52"/>
    <w:rsid w:val="007E6CFB"/>
    <w:rsid w:val="00865ED5"/>
    <w:rsid w:val="00887CD9"/>
    <w:rsid w:val="008A62B0"/>
    <w:rsid w:val="009E4881"/>
    <w:rsid w:val="009F6E0B"/>
    <w:rsid w:val="00A21021"/>
    <w:rsid w:val="00A25E8D"/>
    <w:rsid w:val="00A555C0"/>
    <w:rsid w:val="00B056B5"/>
    <w:rsid w:val="00B359ED"/>
    <w:rsid w:val="00BA20BA"/>
    <w:rsid w:val="00BB057A"/>
    <w:rsid w:val="00C1717A"/>
    <w:rsid w:val="00CB20DB"/>
    <w:rsid w:val="00CE1253"/>
    <w:rsid w:val="00CF2E4C"/>
    <w:rsid w:val="00D37496"/>
    <w:rsid w:val="00D813FB"/>
    <w:rsid w:val="00E152A4"/>
    <w:rsid w:val="00E32522"/>
    <w:rsid w:val="00E65B00"/>
    <w:rsid w:val="00E76153"/>
    <w:rsid w:val="00E81E02"/>
    <w:rsid w:val="00E931BB"/>
    <w:rsid w:val="00F2360A"/>
    <w:rsid w:val="00F363D6"/>
    <w:rsid w:val="00F533AC"/>
    <w:rsid w:val="00FA0AAB"/>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B47F0-8480-4D93-ABB1-EC0B987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77F"/>
    <w:pPr>
      <w:spacing w:after="0" w:line="240" w:lineRule="auto"/>
    </w:pPr>
  </w:style>
  <w:style w:type="paragraph" w:styleId="BalloonText">
    <w:name w:val="Balloon Text"/>
    <w:basedOn w:val="Normal"/>
    <w:link w:val="BalloonTextChar"/>
    <w:uiPriority w:val="99"/>
    <w:semiHidden/>
    <w:unhideWhenUsed/>
    <w:rsid w:val="002D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7F"/>
    <w:rPr>
      <w:rFonts w:ascii="Tahoma" w:hAnsi="Tahoma" w:cs="Tahoma"/>
      <w:sz w:val="16"/>
      <w:szCs w:val="16"/>
    </w:rPr>
  </w:style>
  <w:style w:type="paragraph" w:styleId="Header">
    <w:name w:val="header"/>
    <w:basedOn w:val="Normal"/>
    <w:link w:val="HeaderChar"/>
    <w:uiPriority w:val="99"/>
    <w:unhideWhenUsed/>
    <w:rsid w:val="0017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B9"/>
  </w:style>
  <w:style w:type="paragraph" w:styleId="Footer">
    <w:name w:val="footer"/>
    <w:basedOn w:val="Normal"/>
    <w:link w:val="FooterChar"/>
    <w:uiPriority w:val="99"/>
    <w:unhideWhenUsed/>
    <w:rsid w:val="0017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w="12700">
          <a:solidFill>
            <a:schemeClr val="tx1"/>
          </a:solidFill>
        </a:ln>
      </c:spPr>
    </c:floor>
    <c:sideWall>
      <c:thickness val="0"/>
    </c:sideWall>
    <c:backWall>
      <c:thickness val="0"/>
    </c:backWall>
    <c:plotArea>
      <c:layout/>
      <c:bar3DChart>
        <c:barDir val="col"/>
        <c:grouping val="clustered"/>
        <c:varyColors val="0"/>
        <c:ser>
          <c:idx val="0"/>
          <c:order val="0"/>
          <c:tx>
            <c:strRef>
              <c:f>Sheet1!$B$1</c:f>
              <c:strCache>
                <c:ptCount val="1"/>
                <c:pt idx="0">
                  <c:v>CO91212-4</c:v>
                </c:pt>
              </c:strCache>
            </c:strRef>
          </c:tx>
          <c:invertIfNegative val="0"/>
          <c:dLbls>
            <c:dLbl>
              <c:idx val="0"/>
              <c:layout>
                <c:manualLayout>
                  <c:x val="2.2891895277690408E-3"/>
                  <c:y val="-1.91538040410002E-2"/>
                </c:manualLayout>
              </c:layout>
              <c:tx>
                <c:rich>
                  <a:bodyPr/>
                  <a:lstStyle/>
                  <a:p>
                    <a:r>
                      <a:rPr lang="en-US" sz="1200"/>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60343</c:v>
                </c:pt>
              </c:numCache>
            </c:numRef>
          </c:val>
        </c:ser>
        <c:ser>
          <c:idx val="1"/>
          <c:order val="1"/>
          <c:tx>
            <c:strRef>
              <c:f>Sheet1!$C$1</c:f>
              <c:strCache>
                <c:ptCount val="1"/>
                <c:pt idx="0">
                  <c:v>Croissant</c:v>
                </c:pt>
              </c:strCache>
            </c:strRef>
          </c:tx>
          <c:invertIfNegative val="0"/>
          <c:dLbls>
            <c:dLbl>
              <c:idx val="0"/>
              <c:layout>
                <c:manualLayout>
                  <c:x val="9.1567581110761631E-3"/>
                  <c:y val="-6.3846013470000669E-3"/>
                </c:manualLayout>
              </c:layout>
              <c:tx>
                <c:rich>
                  <a:bodyPr/>
                  <a:lstStyle/>
                  <a:p>
                    <a:r>
                      <a:rPr lang="en-US" sz="1200"/>
                      <a:t>a</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94935</c:v>
                </c:pt>
              </c:numCache>
            </c:numRef>
          </c:val>
        </c:ser>
        <c:ser>
          <c:idx val="2"/>
          <c:order val="2"/>
          <c:tx>
            <c:strRef>
              <c:f>Sheet1!$D$1</c:f>
              <c:strCache>
                <c:ptCount val="1"/>
                <c:pt idx="0">
                  <c:v>Long Peak</c:v>
                </c:pt>
              </c:strCache>
            </c:strRef>
          </c:tx>
          <c:invertIfNegative val="0"/>
          <c:dLbls>
            <c:dLbl>
              <c:idx val="0"/>
              <c:layout>
                <c:manualLayout>
                  <c:x val="4.5783790555380816E-3"/>
                  <c:y val="-9.5769020205000999E-3"/>
                </c:manualLayout>
              </c:layout>
              <c:tx>
                <c:rich>
                  <a:bodyPr/>
                  <a:lstStyle/>
                  <a:p>
                    <a:r>
                      <a:rPr lang="en-US" sz="1200"/>
                      <a:t>abc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88401</c:v>
                </c:pt>
              </c:numCache>
            </c:numRef>
          </c:val>
        </c:ser>
        <c:ser>
          <c:idx val="3"/>
          <c:order val="3"/>
          <c:tx>
            <c:strRef>
              <c:f>Sheet1!$E$1</c:f>
              <c:strCache>
                <c:ptCount val="1"/>
                <c:pt idx="0">
                  <c:v>Othello</c:v>
                </c:pt>
              </c:strCache>
            </c:strRef>
          </c:tx>
          <c:invertIfNegative val="0"/>
          <c:dLbls>
            <c:dLbl>
              <c:idx val="0"/>
              <c:layout>
                <c:manualLayout>
                  <c:x val="6.8675685833071215E-3"/>
                  <c:y val="-1.2769202694000134E-2"/>
                </c:manualLayout>
              </c:layout>
              <c:tx>
                <c:rich>
                  <a:bodyPr/>
                  <a:lstStyle/>
                  <a:p>
                    <a:r>
                      <a:rPr lang="en-US" sz="1200"/>
                      <a:t>ab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General</c:formatCode>
                <c:ptCount val="1"/>
                <c:pt idx="0">
                  <c:v>90322</c:v>
                </c:pt>
              </c:numCache>
            </c:numRef>
          </c:val>
        </c:ser>
        <c:ser>
          <c:idx val="4"/>
          <c:order val="4"/>
          <c:tx>
            <c:strRef>
              <c:f>Sheet1!$F$1</c:f>
              <c:strCache>
                <c:ptCount val="1"/>
                <c:pt idx="0">
                  <c:v>Celrk</c:v>
                </c:pt>
              </c:strCache>
            </c:strRef>
          </c:tx>
          <c:invertIfNegative val="0"/>
          <c:dLbls>
            <c:dLbl>
              <c:idx val="0"/>
              <c:layout>
                <c:manualLayout>
                  <c:x val="6.8675685833071215E-3"/>
                  <c:y val="-6.3846013470000669E-3"/>
                </c:manualLayout>
              </c:layout>
              <c:tx>
                <c:rich>
                  <a:bodyPr/>
                  <a:lstStyle/>
                  <a:p>
                    <a:r>
                      <a:rPr lang="en-US" sz="1200"/>
                      <a:t>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General</c:formatCode>
                <c:ptCount val="1"/>
                <c:pt idx="0">
                  <c:v>42663</c:v>
                </c:pt>
              </c:numCache>
            </c:numRef>
          </c:val>
        </c:ser>
        <c:ser>
          <c:idx val="5"/>
          <c:order val="5"/>
          <c:tx>
            <c:strRef>
              <c:f>Sheet1!$G$1</c:f>
              <c:strCache>
                <c:ptCount val="1"/>
                <c:pt idx="0">
                  <c:v>Stampede</c:v>
                </c:pt>
              </c:strCache>
            </c:strRef>
          </c:tx>
          <c:invertIfNegative val="0"/>
          <c:dLbls>
            <c:dLbl>
              <c:idx val="0"/>
              <c:layout>
                <c:manualLayout>
                  <c:x val="9.1567581110761631E-3"/>
                  <c:y val="-6.3846013470000964E-3"/>
                </c:manualLayout>
              </c:layout>
              <c:tx>
                <c:rich>
                  <a:bodyPr/>
                  <a:lstStyle/>
                  <a:p>
                    <a:r>
                      <a:rPr lang="en-US" sz="1200"/>
                      <a:t>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General</c:formatCode>
                <c:ptCount val="1"/>
                <c:pt idx="0">
                  <c:v>77639</c:v>
                </c:pt>
              </c:numCache>
            </c:numRef>
          </c:val>
        </c:ser>
        <c:ser>
          <c:idx val="6"/>
          <c:order val="6"/>
          <c:tx>
            <c:strRef>
              <c:f>Sheet1!$H$1</c:f>
              <c:strCache>
                <c:ptCount val="1"/>
                <c:pt idx="0">
                  <c:v>CO90848-14</c:v>
                </c:pt>
              </c:strCache>
            </c:strRef>
          </c:tx>
          <c:spPr>
            <a:solidFill>
              <a:srgbClr val="FFFF00"/>
            </a:solidFill>
            <a:ln>
              <a:solidFill>
                <a:srgbClr val="FFFF00"/>
              </a:solidFill>
            </a:ln>
          </c:spPr>
          <c:invertIfNegative val="0"/>
          <c:dLbls>
            <c:dLbl>
              <c:idx val="0"/>
              <c:layout>
                <c:manualLayout>
                  <c:x val="4.5783790555380816E-3"/>
                  <c:y val="-6.3846013470000669E-3"/>
                </c:manualLayout>
              </c:layout>
              <c:tx>
                <c:rich>
                  <a:bodyPr/>
                  <a:lstStyle/>
                  <a:p>
                    <a:r>
                      <a:rPr lang="en-US" sz="1200"/>
                      <a:t>cd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Sheet1!$H$2</c:f>
              <c:numCache>
                <c:formatCode>General</c:formatCode>
                <c:ptCount val="1"/>
                <c:pt idx="0">
                  <c:v>74948</c:v>
                </c:pt>
              </c:numCache>
            </c:numRef>
          </c:val>
        </c:ser>
        <c:ser>
          <c:idx val="7"/>
          <c:order val="7"/>
          <c:tx>
            <c:strRef>
              <c:f>Sheet1!$I$1</c:f>
              <c:strCache>
                <c:ptCount val="1"/>
                <c:pt idx="0">
                  <c:v>Lapaz</c:v>
                </c:pt>
              </c:strCache>
            </c:strRef>
          </c:tx>
          <c:invertIfNegative val="0"/>
          <c:dLbls>
            <c:dLbl>
              <c:idx val="0"/>
              <c:layout>
                <c:manualLayout>
                  <c:x val="9.1567581110762464E-3"/>
                  <c:y val="-1.2769202694000104E-2"/>
                </c:manualLayout>
              </c:layout>
              <c:tx>
                <c:rich>
                  <a:bodyPr/>
                  <a:lstStyle/>
                  <a:p>
                    <a:r>
                      <a:rPr lang="en-US" sz="1200"/>
                      <a:t>abc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Sheet1!$I$2</c:f>
              <c:numCache>
                <c:formatCode>General</c:formatCode>
                <c:ptCount val="1"/>
                <c:pt idx="0">
                  <c:v>83020</c:v>
                </c:pt>
              </c:numCache>
            </c:numRef>
          </c:val>
        </c:ser>
        <c:dLbls>
          <c:showLegendKey val="0"/>
          <c:showVal val="0"/>
          <c:showCatName val="0"/>
          <c:showSerName val="0"/>
          <c:showPercent val="0"/>
          <c:showBubbleSize val="0"/>
        </c:dLbls>
        <c:gapWidth val="150"/>
        <c:shape val="cylinder"/>
        <c:axId val="411571352"/>
        <c:axId val="411570960"/>
        <c:axId val="0"/>
      </c:bar3DChart>
      <c:catAx>
        <c:axId val="411571352"/>
        <c:scaling>
          <c:orientation val="minMax"/>
        </c:scaling>
        <c:delete val="0"/>
        <c:axPos val="b"/>
        <c:numFmt formatCode="General" sourceLinked="1"/>
        <c:majorTickMark val="out"/>
        <c:minorTickMark val="none"/>
        <c:tickLblPos val="nextTo"/>
        <c:crossAx val="411570960"/>
        <c:crosses val="autoZero"/>
        <c:auto val="1"/>
        <c:lblAlgn val="ctr"/>
        <c:lblOffset val="100"/>
        <c:noMultiLvlLbl val="0"/>
      </c:catAx>
      <c:valAx>
        <c:axId val="411570960"/>
        <c:scaling>
          <c:orientation val="minMax"/>
          <c:min val="20000"/>
        </c:scaling>
        <c:delete val="0"/>
        <c:axPos val="l"/>
        <c:majorGridlines>
          <c:spPr>
            <a:ln>
              <a:solidFill>
                <a:schemeClr val="tx1"/>
              </a:solidFill>
            </a:ln>
          </c:spPr>
        </c:majorGridlines>
        <c:title>
          <c:tx>
            <c:rich>
              <a:bodyPr rot="-5400000" vert="horz"/>
              <a:lstStyle/>
              <a:p>
                <a:pPr>
                  <a:defRPr/>
                </a:pPr>
                <a:r>
                  <a:rPr lang="en-US"/>
                  <a:t>Plant Population /Acre</a:t>
                </a:r>
              </a:p>
            </c:rich>
          </c:tx>
          <c:overlay val="0"/>
        </c:title>
        <c:numFmt formatCode="General" sourceLinked="1"/>
        <c:majorTickMark val="out"/>
        <c:minorTickMark val="none"/>
        <c:tickLblPos val="nextTo"/>
        <c:spPr>
          <a:ln w="12700">
            <a:solidFill>
              <a:schemeClr val="tx1"/>
            </a:solidFill>
          </a:ln>
        </c:spPr>
        <c:crossAx val="411571352"/>
        <c:crosses val="autoZero"/>
        <c:crossBetween val="between"/>
      </c:valAx>
    </c:plotArea>
    <c:legend>
      <c:legendPos val="r"/>
      <c:overlay val="0"/>
    </c:legend>
    <c:plotVisOnly val="1"/>
    <c:dispBlanksAs val="gap"/>
    <c:showDLblsOverMax val="0"/>
  </c:chart>
  <c:spPr>
    <a:ln w="15875">
      <a:solidFill>
        <a:schemeClr val="tx1"/>
      </a:solidFill>
    </a:ln>
  </c:spPr>
  <c:txPr>
    <a:bodyPr/>
    <a:lstStyle/>
    <a:p>
      <a:pPr>
        <a:defRPr b="1">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w="12700">
          <a:solidFill>
            <a:schemeClr val="tx1"/>
          </a:solidFill>
        </a:ln>
      </c:spPr>
    </c:floor>
    <c:sideWall>
      <c:thickness val="0"/>
    </c:sideWall>
    <c:backWall>
      <c:thickness val="0"/>
    </c:backWall>
    <c:plotArea>
      <c:layout/>
      <c:bar3DChart>
        <c:barDir val="col"/>
        <c:grouping val="clustered"/>
        <c:varyColors val="0"/>
        <c:ser>
          <c:idx val="0"/>
          <c:order val="0"/>
          <c:tx>
            <c:strRef>
              <c:f>Sheet1!$B$1</c:f>
              <c:strCache>
                <c:ptCount val="1"/>
                <c:pt idx="0">
                  <c:v>CO91212-4</c:v>
                </c:pt>
              </c:strCache>
            </c:strRef>
          </c:tx>
          <c:invertIfNegative val="0"/>
          <c:dLbls>
            <c:dLbl>
              <c:idx val="0"/>
              <c:layout>
                <c:manualLayout>
                  <c:x val="-2.0855732408683945E-17"/>
                  <c:y val="-1.6797031025571136E-2"/>
                </c:manualLayout>
              </c:layout>
              <c:tx>
                <c:rich>
                  <a:bodyPr/>
                  <a:lstStyle/>
                  <a:p>
                    <a:r>
                      <a:rPr lang="en-US" sz="1200"/>
                      <a:t>abc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27</c:v>
                </c:pt>
              </c:numCache>
            </c:numRef>
          </c:val>
        </c:ser>
        <c:ser>
          <c:idx val="1"/>
          <c:order val="1"/>
          <c:tx>
            <c:strRef>
              <c:f>Sheet1!$C$1</c:f>
              <c:strCache>
                <c:ptCount val="1"/>
                <c:pt idx="0">
                  <c:v>Croissant</c:v>
                </c:pt>
              </c:strCache>
            </c:strRef>
          </c:tx>
          <c:invertIfNegative val="0"/>
          <c:dLbls>
            <c:dLbl>
              <c:idx val="0"/>
              <c:layout>
                <c:manualLayout>
                  <c:x val="9.1007883647495659E-3"/>
                  <c:y val="-6.718812410228466E-3"/>
                </c:manualLayout>
              </c:layout>
              <c:tx>
                <c:rich>
                  <a:bodyPr/>
                  <a:lstStyle/>
                  <a:p>
                    <a:r>
                      <a:rPr lang="en-US" sz="1200"/>
                      <a:t>ab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32</c:v>
                </c:pt>
              </c:numCache>
            </c:numRef>
          </c:val>
        </c:ser>
        <c:ser>
          <c:idx val="2"/>
          <c:order val="2"/>
          <c:tx>
            <c:strRef>
              <c:f>Sheet1!$D$1</c:f>
              <c:strCache>
                <c:ptCount val="1"/>
                <c:pt idx="0">
                  <c:v>Long Peak</c:v>
                </c:pt>
              </c:strCache>
            </c:strRef>
          </c:tx>
          <c:invertIfNegative val="0"/>
          <c:dLbls>
            <c:dLbl>
              <c:idx val="0"/>
              <c:layout>
                <c:manualLayout>
                  <c:x val="6.8255912735621736E-3"/>
                  <c:y val="-1.0078218615342699E-2"/>
                </c:manualLayout>
              </c:layout>
              <c:tx>
                <c:rich>
                  <a:bodyPr/>
                  <a:lstStyle/>
                  <a:p>
                    <a:r>
                      <a:rPr lang="en-US" sz="1200"/>
                      <a:t>abc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27</c:v>
                </c:pt>
              </c:numCache>
            </c:numRef>
          </c:val>
        </c:ser>
        <c:ser>
          <c:idx val="3"/>
          <c:order val="3"/>
          <c:tx>
            <c:strRef>
              <c:f>Sheet1!$E$1</c:f>
              <c:strCache>
                <c:ptCount val="1"/>
                <c:pt idx="0">
                  <c:v>Othello</c:v>
                </c:pt>
              </c:strCache>
            </c:strRef>
          </c:tx>
          <c:invertIfNegative val="0"/>
          <c:dLbls>
            <c:dLbl>
              <c:idx val="0"/>
              <c:layout>
                <c:manualLayout>
                  <c:x val="1.1375985455936957E-2"/>
                  <c:y val="-1.3437624820456932E-2"/>
                </c:manualLayout>
              </c:layout>
              <c:tx>
                <c:rich>
                  <a:bodyPr/>
                  <a:lstStyle/>
                  <a:p>
                    <a:r>
                      <a:rPr lang="en-US" sz="1200"/>
                      <a:t>a</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General</c:formatCode>
                <c:ptCount val="1"/>
                <c:pt idx="0">
                  <c:v>33</c:v>
                </c:pt>
              </c:numCache>
            </c:numRef>
          </c:val>
        </c:ser>
        <c:ser>
          <c:idx val="4"/>
          <c:order val="4"/>
          <c:tx>
            <c:strRef>
              <c:f>Sheet1!$F$1</c:f>
              <c:strCache>
                <c:ptCount val="1"/>
                <c:pt idx="0">
                  <c:v>Celrk</c:v>
                </c:pt>
              </c:strCache>
            </c:strRef>
          </c:tx>
          <c:invertIfNegative val="0"/>
          <c:dLbls>
            <c:dLbl>
              <c:idx val="0"/>
              <c:layout>
                <c:manualLayout>
                  <c:x val="9.1007883647495659E-3"/>
                  <c:y val="-6.718812410228466E-3"/>
                </c:manualLayout>
              </c:layout>
              <c:tx>
                <c:rich>
                  <a:bodyPr/>
                  <a:lstStyle/>
                  <a:p>
                    <a:r>
                      <a:rPr lang="en-US" sz="1200"/>
                      <a:t>cd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General</c:formatCode>
                <c:ptCount val="1"/>
                <c:pt idx="0">
                  <c:v>21</c:v>
                </c:pt>
              </c:numCache>
            </c:numRef>
          </c:val>
        </c:ser>
        <c:ser>
          <c:idx val="5"/>
          <c:order val="5"/>
          <c:tx>
            <c:strRef>
              <c:f>Sheet1!$G$1</c:f>
              <c:strCache>
                <c:ptCount val="1"/>
                <c:pt idx="0">
                  <c:v>Stampede</c:v>
                </c:pt>
              </c:strCache>
            </c:strRef>
          </c:tx>
          <c:invertIfNegative val="0"/>
          <c:dLbls>
            <c:dLbl>
              <c:idx val="0"/>
              <c:layout>
                <c:manualLayout>
                  <c:x val="9.1007883647495659E-3"/>
                  <c:y val="-1.6797031025571164E-2"/>
                </c:manualLayout>
              </c:layout>
              <c:tx>
                <c:rich>
                  <a:bodyPr/>
                  <a:lstStyle/>
                  <a:p>
                    <a:r>
                      <a:rPr lang="en-US" sz="1200"/>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General</c:formatCode>
                <c:ptCount val="1"/>
                <c:pt idx="0">
                  <c:v>20</c:v>
                </c:pt>
              </c:numCache>
            </c:numRef>
          </c:val>
        </c:ser>
        <c:ser>
          <c:idx val="6"/>
          <c:order val="6"/>
          <c:tx>
            <c:strRef>
              <c:f>Sheet1!$H$1</c:f>
              <c:strCache>
                <c:ptCount val="1"/>
                <c:pt idx="0">
                  <c:v>CO90848-14</c:v>
                </c:pt>
              </c:strCache>
            </c:strRef>
          </c:tx>
          <c:spPr>
            <a:solidFill>
              <a:srgbClr val="FFFF00"/>
            </a:solidFill>
            <a:ln>
              <a:solidFill>
                <a:srgbClr val="FFFF00"/>
              </a:solidFill>
            </a:ln>
          </c:spPr>
          <c:invertIfNegative val="0"/>
          <c:dLbls>
            <c:dLbl>
              <c:idx val="0"/>
              <c:layout>
                <c:manualLayout>
                  <c:x val="9.1007883647495659E-3"/>
                  <c:y val="-1.6797031025571164E-2"/>
                </c:manualLayout>
              </c:layout>
              <c:tx>
                <c:rich>
                  <a:bodyPr/>
                  <a:lstStyle/>
                  <a:p>
                    <a:r>
                      <a:rPr lang="en-US" sz="1200"/>
                      <a:t>cd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Sheet1!$H$2</c:f>
              <c:numCache>
                <c:formatCode>General</c:formatCode>
                <c:ptCount val="1"/>
                <c:pt idx="0">
                  <c:v>23</c:v>
                </c:pt>
              </c:numCache>
            </c:numRef>
          </c:val>
        </c:ser>
        <c:ser>
          <c:idx val="7"/>
          <c:order val="7"/>
          <c:tx>
            <c:strRef>
              <c:f>Sheet1!$I$1</c:f>
              <c:strCache>
                <c:ptCount val="1"/>
                <c:pt idx="0">
                  <c:v>Lapaz</c:v>
                </c:pt>
              </c:strCache>
            </c:strRef>
          </c:tx>
          <c:invertIfNegative val="0"/>
          <c:dLbls>
            <c:dLbl>
              <c:idx val="0"/>
              <c:layout>
                <c:manualLayout>
                  <c:x val="6.8255912735621736E-3"/>
                  <c:y val="-1.6797031025571164E-2"/>
                </c:manualLayout>
              </c:layout>
              <c:tx>
                <c:rich>
                  <a:bodyPr/>
                  <a:lstStyle/>
                  <a:p>
                    <a:r>
                      <a:rPr lang="en-US" sz="1200"/>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Sheet1!$I$2</c:f>
              <c:numCache>
                <c:formatCode>General</c:formatCode>
                <c:ptCount val="1"/>
                <c:pt idx="0">
                  <c:v>17</c:v>
                </c:pt>
              </c:numCache>
            </c:numRef>
          </c:val>
        </c:ser>
        <c:dLbls>
          <c:showLegendKey val="0"/>
          <c:showVal val="0"/>
          <c:showCatName val="0"/>
          <c:showSerName val="0"/>
          <c:showPercent val="0"/>
          <c:showBubbleSize val="0"/>
        </c:dLbls>
        <c:gapWidth val="150"/>
        <c:shape val="cylinder"/>
        <c:axId val="411572920"/>
        <c:axId val="411570176"/>
        <c:axId val="0"/>
      </c:bar3DChart>
      <c:catAx>
        <c:axId val="411572920"/>
        <c:scaling>
          <c:orientation val="minMax"/>
        </c:scaling>
        <c:delete val="0"/>
        <c:axPos val="b"/>
        <c:numFmt formatCode="General" sourceLinked="1"/>
        <c:majorTickMark val="out"/>
        <c:minorTickMark val="none"/>
        <c:tickLblPos val="nextTo"/>
        <c:crossAx val="411570176"/>
        <c:crosses val="autoZero"/>
        <c:auto val="1"/>
        <c:lblAlgn val="ctr"/>
        <c:lblOffset val="100"/>
        <c:noMultiLvlLbl val="0"/>
      </c:catAx>
      <c:valAx>
        <c:axId val="411570176"/>
        <c:scaling>
          <c:orientation val="minMax"/>
          <c:min val="10"/>
        </c:scaling>
        <c:delete val="0"/>
        <c:axPos val="l"/>
        <c:majorGridlines>
          <c:spPr>
            <a:ln>
              <a:solidFill>
                <a:schemeClr val="tx1"/>
              </a:solidFill>
            </a:ln>
          </c:spPr>
        </c:majorGridlines>
        <c:title>
          <c:tx>
            <c:rich>
              <a:bodyPr rot="-5400000" vert="horz"/>
              <a:lstStyle/>
              <a:p>
                <a:pPr>
                  <a:defRPr/>
                </a:pPr>
                <a:r>
                  <a:rPr lang="en-US"/>
                  <a:t>Yield (cwt/Acre)</a:t>
                </a:r>
              </a:p>
            </c:rich>
          </c:tx>
          <c:overlay val="0"/>
        </c:title>
        <c:numFmt formatCode="General" sourceLinked="1"/>
        <c:majorTickMark val="out"/>
        <c:minorTickMark val="none"/>
        <c:tickLblPos val="nextTo"/>
        <c:spPr>
          <a:ln w="12700">
            <a:solidFill>
              <a:schemeClr val="tx1"/>
            </a:solidFill>
          </a:ln>
        </c:spPr>
        <c:crossAx val="411572920"/>
        <c:crosses val="autoZero"/>
        <c:crossBetween val="between"/>
      </c:valAx>
    </c:plotArea>
    <c:legend>
      <c:legendPos val="r"/>
      <c:overlay val="0"/>
    </c:legend>
    <c:plotVisOnly val="1"/>
    <c:dispBlanksAs val="gap"/>
    <c:showDLblsOverMax val="0"/>
  </c:chart>
  <c:spPr>
    <a:ln w="12700">
      <a:solidFill>
        <a:schemeClr val="tx1"/>
      </a:solidFill>
    </a:ln>
  </c:spPr>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w="12700">
          <a:solidFill>
            <a:schemeClr val="tx1"/>
          </a:solidFill>
        </a:ln>
      </c:spPr>
    </c:floor>
    <c:sideWall>
      <c:thickness val="0"/>
    </c:sideWall>
    <c:backWall>
      <c:thickness val="0"/>
    </c:backWall>
    <c:plotArea>
      <c:layout/>
      <c:bar3DChart>
        <c:barDir val="col"/>
        <c:grouping val="clustered"/>
        <c:varyColors val="0"/>
        <c:ser>
          <c:idx val="0"/>
          <c:order val="0"/>
          <c:tx>
            <c:strRef>
              <c:f>Sheet1!$B$1</c:f>
              <c:strCache>
                <c:ptCount val="1"/>
                <c:pt idx="0">
                  <c:v>CO91212-4</c:v>
                </c:pt>
              </c:strCache>
            </c:strRef>
          </c:tx>
          <c:invertIfNegative val="0"/>
          <c:dLbls>
            <c:dLbl>
              <c:idx val="0"/>
              <c:layout>
                <c:manualLayout>
                  <c:x val="6.9444444444444441E-3"/>
                  <c:y val="-6.1933817620024242E-3"/>
                </c:manualLayout>
              </c:layout>
              <c:tx>
                <c:rich>
                  <a:bodyPr/>
                  <a:lstStyle/>
                  <a:p>
                    <a:r>
                      <a:rPr lang="en-US" sz="1200"/>
                      <a:t>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2.4</c:v>
                </c:pt>
              </c:numCache>
            </c:numRef>
          </c:val>
        </c:ser>
        <c:ser>
          <c:idx val="1"/>
          <c:order val="1"/>
          <c:tx>
            <c:strRef>
              <c:f>Sheet1!$C$1</c:f>
              <c:strCache>
                <c:ptCount val="1"/>
                <c:pt idx="0">
                  <c:v>Croissant</c:v>
                </c:pt>
              </c:strCache>
            </c:strRef>
          </c:tx>
          <c:invertIfNegative val="0"/>
          <c:dLbls>
            <c:dLbl>
              <c:idx val="0"/>
              <c:layout>
                <c:manualLayout>
                  <c:x val="4.6296296296296294E-3"/>
                  <c:y val="-9.2900726430037214E-3"/>
                </c:manualLayout>
              </c:layout>
              <c:tx>
                <c:rich>
                  <a:bodyPr/>
                  <a:lstStyle/>
                  <a:p>
                    <a:r>
                      <a:rPr lang="en-US" sz="1200"/>
                      <a:t>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2.2000000000000002</c:v>
                </c:pt>
              </c:numCache>
            </c:numRef>
          </c:val>
        </c:ser>
        <c:ser>
          <c:idx val="2"/>
          <c:order val="2"/>
          <c:tx>
            <c:strRef>
              <c:f>Sheet1!$D$1</c:f>
              <c:strCache>
                <c:ptCount val="1"/>
                <c:pt idx="0">
                  <c:v>Long Peak</c:v>
                </c:pt>
              </c:strCache>
            </c:strRef>
          </c:tx>
          <c:invertIfNegative val="0"/>
          <c:dLbls>
            <c:dLbl>
              <c:idx val="0"/>
              <c:layout>
                <c:manualLayout>
                  <c:x val="9.2592592592592587E-3"/>
                  <c:y val="-1.5483454405006146E-2"/>
                </c:manualLayout>
              </c:layout>
              <c:tx>
                <c:rich>
                  <a:bodyPr/>
                  <a:lstStyle/>
                  <a:p>
                    <a:r>
                      <a:rPr lang="en-US" sz="1200"/>
                      <a:t>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2.5</c:v>
                </c:pt>
              </c:numCache>
            </c:numRef>
          </c:val>
        </c:ser>
        <c:ser>
          <c:idx val="3"/>
          <c:order val="3"/>
          <c:tx>
            <c:strRef>
              <c:f>Sheet1!$E$1</c:f>
              <c:strCache>
                <c:ptCount val="1"/>
                <c:pt idx="0">
                  <c:v>Othello</c:v>
                </c:pt>
              </c:strCache>
            </c:strRef>
          </c:tx>
          <c:invertIfNegative val="0"/>
          <c:dLbls>
            <c:dLbl>
              <c:idx val="0"/>
              <c:layout>
                <c:manualLayout>
                  <c:x val="6.9444444444444441E-3"/>
                  <c:y val="-2.1676836167008627E-2"/>
                </c:manualLayout>
              </c:layout>
              <c:tx>
                <c:rich>
                  <a:bodyPr/>
                  <a:lstStyle/>
                  <a:p>
                    <a:r>
                      <a:rPr lang="en-US" sz="1200"/>
                      <a:t>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Sheet1!$E$2</c:f>
              <c:numCache>
                <c:formatCode>General</c:formatCode>
                <c:ptCount val="1"/>
                <c:pt idx="0">
                  <c:v>2.5</c:v>
                </c:pt>
              </c:numCache>
            </c:numRef>
          </c:val>
        </c:ser>
        <c:ser>
          <c:idx val="4"/>
          <c:order val="4"/>
          <c:tx>
            <c:strRef>
              <c:f>Sheet1!$F$1</c:f>
              <c:strCache>
                <c:ptCount val="1"/>
                <c:pt idx="0">
                  <c:v>Celrk</c:v>
                </c:pt>
              </c:strCache>
            </c:strRef>
          </c:tx>
          <c:invertIfNegative val="0"/>
          <c:dLbls>
            <c:dLbl>
              <c:idx val="0"/>
              <c:layout>
                <c:manualLayout>
                  <c:x val="2.3148148148148147E-3"/>
                  <c:y val="-1.5483454405006203E-2"/>
                </c:manualLayout>
              </c:layout>
              <c:tx>
                <c:rich>
                  <a:bodyPr/>
                  <a:lstStyle/>
                  <a:p>
                    <a:r>
                      <a:rPr lang="en-US" sz="1200"/>
                      <a:t>a</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Sheet1!$F$2</c:f>
              <c:numCache>
                <c:formatCode>General</c:formatCode>
                <c:ptCount val="1"/>
                <c:pt idx="0">
                  <c:v>4</c:v>
                </c:pt>
              </c:numCache>
            </c:numRef>
          </c:val>
        </c:ser>
        <c:ser>
          <c:idx val="5"/>
          <c:order val="5"/>
          <c:tx>
            <c:strRef>
              <c:f>Sheet1!$G$1</c:f>
              <c:strCache>
                <c:ptCount val="1"/>
                <c:pt idx="0">
                  <c:v>Stampede</c:v>
                </c:pt>
              </c:strCache>
            </c:strRef>
          </c:tx>
          <c:invertIfNegative val="0"/>
          <c:dLbls>
            <c:dLbl>
              <c:idx val="0"/>
              <c:layout>
                <c:manualLayout>
                  <c:x val="9.2592592592592587E-3"/>
                  <c:y val="-2.1676836167008627E-2"/>
                </c:manualLayout>
              </c:layout>
              <c:tx>
                <c:rich>
                  <a:bodyPr/>
                  <a:lstStyle/>
                  <a:p>
                    <a:r>
                      <a:rPr lang="en-US" sz="1200"/>
                      <a:t>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General</c:formatCode>
                <c:ptCount val="1"/>
                <c:pt idx="0">
                  <c:v>2.5</c:v>
                </c:pt>
              </c:numCache>
            </c:numRef>
          </c:val>
        </c:ser>
        <c:ser>
          <c:idx val="6"/>
          <c:order val="6"/>
          <c:tx>
            <c:strRef>
              <c:f>Sheet1!$H$1</c:f>
              <c:strCache>
                <c:ptCount val="1"/>
                <c:pt idx="0">
                  <c:v>CO90848-14</c:v>
                </c:pt>
              </c:strCache>
            </c:strRef>
          </c:tx>
          <c:spPr>
            <a:solidFill>
              <a:srgbClr val="FFFF00"/>
            </a:solidFill>
            <a:ln>
              <a:solidFill>
                <a:srgbClr val="FFFF00"/>
              </a:solidFill>
            </a:ln>
          </c:spPr>
          <c:invertIfNegative val="0"/>
          <c:dLbls>
            <c:dLbl>
              <c:idx val="0"/>
              <c:layout>
                <c:manualLayout>
                  <c:x val="9.2592592592592587E-3"/>
                  <c:y val="-1.2386763524004906E-2"/>
                </c:manualLayout>
              </c:layout>
              <c:tx>
                <c:rich>
                  <a:bodyPr/>
                  <a:lstStyle/>
                  <a:p>
                    <a:r>
                      <a:rPr lang="en-US" sz="1200"/>
                      <a:t>bc</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Sheet1!$H$2</c:f>
              <c:numCache>
                <c:formatCode>General</c:formatCode>
                <c:ptCount val="1"/>
                <c:pt idx="0">
                  <c:v>2.4</c:v>
                </c:pt>
              </c:numCache>
            </c:numRef>
          </c:val>
        </c:ser>
        <c:ser>
          <c:idx val="7"/>
          <c:order val="7"/>
          <c:tx>
            <c:strRef>
              <c:f>Sheet1!$I$1</c:f>
              <c:strCache>
                <c:ptCount val="1"/>
                <c:pt idx="0">
                  <c:v>Lapaz</c:v>
                </c:pt>
              </c:strCache>
            </c:strRef>
          </c:tx>
          <c:invertIfNegative val="0"/>
          <c:dLbls>
            <c:dLbl>
              <c:idx val="0"/>
              <c:layout>
                <c:manualLayout>
                  <c:x val="4.6296296296296294E-3"/>
                  <c:y val="-2.4773527048009926E-2"/>
                </c:manualLayout>
              </c:layout>
              <c:tx>
                <c:rich>
                  <a:bodyPr/>
                  <a:lstStyle/>
                  <a:p>
                    <a:r>
                      <a:rPr lang="en-US" sz="1200"/>
                      <a:t>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Sheet1!$I$2</c:f>
              <c:numCache>
                <c:formatCode>General</c:formatCode>
                <c:ptCount val="1"/>
                <c:pt idx="0">
                  <c:v>2</c:v>
                </c:pt>
              </c:numCache>
            </c:numRef>
          </c:val>
        </c:ser>
        <c:dLbls>
          <c:showLegendKey val="0"/>
          <c:showVal val="0"/>
          <c:showCatName val="0"/>
          <c:showSerName val="0"/>
          <c:showPercent val="0"/>
          <c:showBubbleSize val="0"/>
        </c:dLbls>
        <c:gapWidth val="150"/>
        <c:shape val="cylinder"/>
        <c:axId val="411868456"/>
        <c:axId val="411868064"/>
        <c:axId val="0"/>
      </c:bar3DChart>
      <c:catAx>
        <c:axId val="411868456"/>
        <c:scaling>
          <c:orientation val="minMax"/>
        </c:scaling>
        <c:delete val="0"/>
        <c:axPos val="b"/>
        <c:numFmt formatCode="General" sourceLinked="1"/>
        <c:majorTickMark val="out"/>
        <c:minorTickMark val="none"/>
        <c:tickLblPos val="nextTo"/>
        <c:crossAx val="411868064"/>
        <c:crosses val="autoZero"/>
        <c:auto val="1"/>
        <c:lblAlgn val="ctr"/>
        <c:lblOffset val="100"/>
        <c:noMultiLvlLbl val="0"/>
      </c:catAx>
      <c:valAx>
        <c:axId val="411868064"/>
        <c:scaling>
          <c:orientation val="minMax"/>
          <c:min val="1"/>
        </c:scaling>
        <c:delete val="0"/>
        <c:axPos val="l"/>
        <c:majorGridlines>
          <c:spPr>
            <a:ln>
              <a:solidFill>
                <a:schemeClr val="tx1"/>
              </a:solidFill>
            </a:ln>
          </c:spPr>
        </c:majorGridlines>
        <c:title>
          <c:tx>
            <c:rich>
              <a:bodyPr rot="-5400000" vert="horz"/>
              <a:lstStyle/>
              <a:p>
                <a:pPr>
                  <a:defRPr/>
                </a:pPr>
                <a:r>
                  <a:rPr lang="en-US"/>
                  <a:t>200 - Seed Weight</a:t>
                </a:r>
                <a:r>
                  <a:rPr lang="en-US" baseline="0"/>
                  <a:t> (oz)</a:t>
                </a:r>
                <a:endParaRPr lang="en-US"/>
              </a:p>
            </c:rich>
          </c:tx>
          <c:overlay val="0"/>
        </c:title>
        <c:numFmt formatCode="General" sourceLinked="1"/>
        <c:majorTickMark val="out"/>
        <c:minorTickMark val="none"/>
        <c:tickLblPos val="nextTo"/>
        <c:spPr>
          <a:ln w="12700">
            <a:solidFill>
              <a:schemeClr val="tx1"/>
            </a:solidFill>
          </a:ln>
        </c:spPr>
        <c:crossAx val="411868456"/>
        <c:crosses val="autoZero"/>
        <c:crossBetween val="between"/>
      </c:valAx>
    </c:plotArea>
    <c:legend>
      <c:legendPos val="r"/>
      <c:overlay val="0"/>
    </c:legend>
    <c:plotVisOnly val="1"/>
    <c:dispBlanksAs val="gap"/>
    <c:showDLblsOverMax val="0"/>
  </c:chart>
  <c:spPr>
    <a:ln w="12700">
      <a:solidFill>
        <a:schemeClr val="tx1"/>
      </a:solidFill>
    </a:ln>
  </c:spPr>
  <c:txPr>
    <a:bodyPr/>
    <a:lstStyle/>
    <a:p>
      <a:pPr>
        <a:defRPr b="1">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6A06-6ECB-4131-859C-02EA3BD3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Essah</dc:creator>
  <cp:lastModifiedBy>Potato Certification</cp:lastModifiedBy>
  <cp:revision>2</cp:revision>
  <cp:lastPrinted>2015-01-22T19:01:00Z</cp:lastPrinted>
  <dcterms:created xsi:type="dcterms:W3CDTF">2015-01-28T17:45:00Z</dcterms:created>
  <dcterms:modified xsi:type="dcterms:W3CDTF">2015-01-28T17:45:00Z</dcterms:modified>
</cp:coreProperties>
</file>